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CC" w:rsidRDefault="00C93FCC" w:rsidP="00E6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BURSA TEKNİK ÜNİVERSİTESİ</w:t>
      </w:r>
    </w:p>
    <w:p w:rsidR="00E63AFE" w:rsidRPr="00E63AFE" w:rsidRDefault="002651EF" w:rsidP="00E6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1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AFE" w:rsidRPr="00E63AFE">
        <w:rPr>
          <w:rFonts w:ascii="Times New Roman" w:hAnsi="Times New Roman" w:cs="Times New Roman"/>
          <w:b/>
          <w:sz w:val="28"/>
          <w:szCs w:val="28"/>
        </w:rPr>
        <w:t>AKADEMİK TEŞVİK BAŞVURU TAKVİMİ</w:t>
      </w:r>
    </w:p>
    <w:tbl>
      <w:tblPr>
        <w:tblStyle w:val="TabloKlavuzu"/>
        <w:tblW w:w="10065" w:type="dxa"/>
        <w:tblInd w:w="-743" w:type="dxa"/>
        <w:tblLook w:val="04A0" w:firstRow="1" w:lastRow="0" w:firstColumn="1" w:lastColumn="0" w:noHBand="0" w:noVBand="1"/>
      </w:tblPr>
      <w:tblGrid>
        <w:gridCol w:w="7369"/>
        <w:gridCol w:w="1369"/>
        <w:gridCol w:w="1327"/>
      </w:tblGrid>
      <w:tr w:rsidR="00E63AFE" w:rsidRPr="00E63AFE" w:rsidTr="00720696">
        <w:tc>
          <w:tcPr>
            <w:tcW w:w="7369" w:type="dxa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b/>
                <w:color w:val="000000" w:themeColor="text1"/>
              </w:rPr>
              <w:t>SÜREÇ</w:t>
            </w:r>
          </w:p>
        </w:tc>
        <w:tc>
          <w:tcPr>
            <w:tcW w:w="1369" w:type="dxa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b/>
                <w:color w:val="000000" w:themeColor="text1"/>
              </w:rPr>
              <w:t>BAŞLAMA TARİHİ</w:t>
            </w:r>
          </w:p>
        </w:tc>
        <w:tc>
          <w:tcPr>
            <w:tcW w:w="1327" w:type="dxa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b/>
                <w:color w:val="000000" w:themeColor="text1"/>
              </w:rPr>
              <w:t>BİTİŞ TARİHİ</w:t>
            </w:r>
          </w:p>
        </w:tc>
      </w:tr>
      <w:tr w:rsidR="00AA18D2" w:rsidRPr="00E63AFE" w:rsidTr="00720696">
        <w:tc>
          <w:tcPr>
            <w:tcW w:w="7369" w:type="dxa"/>
            <w:vAlign w:val="center"/>
          </w:tcPr>
          <w:p w:rsidR="00AA18D2" w:rsidRPr="00E63AFE" w:rsidRDefault="00AA18D2" w:rsidP="00237D2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A18D2">
              <w:rPr>
                <w:rFonts w:ascii="Times New Roman" w:hAnsi="Times New Roman" w:cs="Times New Roman"/>
                <w:color w:val="000000" w:themeColor="text1"/>
              </w:rPr>
              <w:t>Akademik Teşv</w:t>
            </w:r>
            <w:r>
              <w:rPr>
                <w:rFonts w:ascii="Times New Roman" w:hAnsi="Times New Roman" w:cs="Times New Roman"/>
                <w:color w:val="000000" w:themeColor="text1"/>
              </w:rPr>
              <w:t>ik Ödeneği yönetmeliğinde; t</w:t>
            </w:r>
            <w:r w:rsidRPr="00AA18D2">
              <w:rPr>
                <w:rFonts w:ascii="Times New Roman" w:hAnsi="Times New Roman" w:cs="Times New Roman"/>
                <w:color w:val="000000" w:themeColor="text1"/>
              </w:rPr>
              <w:t xml:space="preserve">ebliğlere ilişkin </w:t>
            </w:r>
            <w:r w:rsidR="00237D28">
              <w:rPr>
                <w:rFonts w:ascii="Times New Roman" w:hAnsi="Times New Roman" w:cs="Times New Roman"/>
                <w:color w:val="000000" w:themeColor="text1"/>
              </w:rPr>
              <w:t>değişiklik yapılmıştır (</w:t>
            </w:r>
            <w:r w:rsidR="00237D28" w:rsidRPr="00237D28">
              <w:rPr>
                <w:rFonts w:ascii="Times New Roman" w:hAnsi="Times New Roman" w:cs="Times New Roman"/>
                <w:color w:val="FF0000"/>
              </w:rPr>
              <w:t>Türkiye dışında en az beş farklı ülkeden sözlü tebliğ sunan konuşmacıların katılım sağlaması ve tebliğlerin yarıdan fazlasının Türkiye dışından katılımcılar tarafından sunulması esastır</w:t>
            </w:r>
            <w:r w:rsidR="00237D28">
              <w:rPr>
                <w:rFonts w:ascii="Times New Roman" w:hAnsi="Times New Roman" w:cs="Times New Roman"/>
                <w:color w:val="000000" w:themeColor="text1"/>
              </w:rPr>
              <w:t xml:space="preserve">). Bu bağlamda, </w:t>
            </w:r>
            <w:r w:rsidRPr="00AA18D2">
              <w:rPr>
                <w:rFonts w:ascii="Times New Roman" w:hAnsi="Times New Roman" w:cs="Times New Roman"/>
                <w:color w:val="000000" w:themeColor="text1"/>
              </w:rPr>
              <w:t>etkinliğin uluslararası niteliği haiz olup olmadığı hususunda, ödemeye esas teşkil etmek üzere üniversite yönetim kurulu kara</w:t>
            </w:r>
            <w:r w:rsidR="00237D28">
              <w:rPr>
                <w:rFonts w:ascii="Times New Roman" w:hAnsi="Times New Roman" w:cs="Times New Roman"/>
                <w:color w:val="000000" w:themeColor="text1"/>
              </w:rPr>
              <w:t xml:space="preserve">rının alınması için kanıtlayıcı belgelerin </w:t>
            </w:r>
            <w:r w:rsidR="00237D28"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bağlı bulundukları birimin Akademik Teşvik Başvuru ve İnceleme Komisyonu</w:t>
            </w:r>
            <w:r w:rsidR="00237D2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aracılığı ile </w:t>
            </w:r>
            <w:r w:rsidR="00237D28"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Akademik Teşvik </w:t>
            </w:r>
            <w:r w:rsidR="00237D2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Düzenleme, Denetleme ve İtiraz Komisyonuna </w:t>
            </w:r>
            <w:r w:rsidR="00237D28"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başvuru yap</w:t>
            </w:r>
            <w:r w:rsidR="00237D2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ıl</w:t>
            </w:r>
            <w:r w:rsidR="00237D28"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ması</w:t>
            </w:r>
          </w:p>
        </w:tc>
        <w:tc>
          <w:tcPr>
            <w:tcW w:w="1369" w:type="dxa"/>
            <w:vAlign w:val="center"/>
          </w:tcPr>
          <w:p w:rsidR="00AA18D2" w:rsidRDefault="00237D28" w:rsidP="00E117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17/01/2020</w:t>
            </w:r>
          </w:p>
        </w:tc>
        <w:tc>
          <w:tcPr>
            <w:tcW w:w="1327" w:type="dxa"/>
            <w:vAlign w:val="center"/>
          </w:tcPr>
          <w:p w:rsidR="00AA18D2" w:rsidRDefault="00237D28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20/01/2020</w:t>
            </w:r>
          </w:p>
        </w:tc>
      </w:tr>
      <w:tr w:rsidR="006139F9" w:rsidRPr="00E63AFE" w:rsidTr="00A419E4">
        <w:tc>
          <w:tcPr>
            <w:tcW w:w="7369" w:type="dxa"/>
            <w:vAlign w:val="center"/>
          </w:tcPr>
          <w:p w:rsidR="006139F9" w:rsidRPr="00AA18D2" w:rsidRDefault="006139F9" w:rsidP="00237D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Ü</w:t>
            </w:r>
            <w:r w:rsidRPr="00AA18D2">
              <w:rPr>
                <w:rFonts w:ascii="Times New Roman" w:hAnsi="Times New Roman" w:cs="Times New Roman"/>
                <w:color w:val="000000" w:themeColor="text1"/>
              </w:rPr>
              <w:t>niversite yönetim kurulu</w:t>
            </w:r>
            <w:r>
              <w:rPr>
                <w:rFonts w:ascii="Times New Roman" w:hAnsi="Times New Roman" w:cs="Times New Roman"/>
                <w:color w:val="000000" w:themeColor="text1"/>
              </w:rPr>
              <w:t>nun etkinliğin uluslararası niteliğe haiz olup olmadığına dair</w:t>
            </w:r>
            <w:r w:rsidRPr="00AA18D2">
              <w:rPr>
                <w:rFonts w:ascii="Times New Roman" w:hAnsi="Times New Roman" w:cs="Times New Roman"/>
                <w:color w:val="000000" w:themeColor="text1"/>
              </w:rPr>
              <w:t xml:space="preserve"> kara</w:t>
            </w:r>
            <w:r>
              <w:rPr>
                <w:rFonts w:ascii="Times New Roman" w:hAnsi="Times New Roman" w:cs="Times New Roman"/>
                <w:color w:val="000000" w:themeColor="text1"/>
              </w:rPr>
              <w:t>rının açıklanması</w:t>
            </w:r>
          </w:p>
        </w:tc>
        <w:tc>
          <w:tcPr>
            <w:tcW w:w="2696" w:type="dxa"/>
            <w:gridSpan w:val="2"/>
            <w:vAlign w:val="center"/>
          </w:tcPr>
          <w:p w:rsidR="006139F9" w:rsidRDefault="006139F9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21/01/2020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721A13" w:rsidRPr="00721A13" w:rsidRDefault="00E63AFE" w:rsidP="00E1177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Öğretim Elemanlarının 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 xml:space="preserve">YÖKSİS </w:t>
            </w:r>
            <w:r w:rsidR="00E11774" w:rsidRPr="00E63AFE">
              <w:rPr>
                <w:rFonts w:ascii="Times New Roman" w:hAnsi="Times New Roman" w:cs="Times New Roman"/>
                <w:color w:val="000000" w:themeColor="text1"/>
              </w:rPr>
              <w:t>veri tabanından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 xml:space="preserve"> indirilen Akademik Teşvik Başvuru Dilekçesi</w:t>
            </w:r>
            <w:r w:rsidR="003721D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721D3" w:rsidRPr="00E63AFE">
              <w:rPr>
                <w:rFonts w:ascii="Times New Roman" w:hAnsi="Times New Roman" w:cs="Times New Roman"/>
                <w:color w:val="000000" w:themeColor="text1"/>
              </w:rPr>
              <w:t>Akademik Teşvik Düzenleme, Denetleme ve İtiraz Komisyonu</w:t>
            </w:r>
            <w:r w:rsidR="003721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1A13">
              <w:rPr>
                <w:rFonts w:ascii="Times New Roman" w:hAnsi="Times New Roman" w:cs="Times New Roman"/>
                <w:color w:val="000000" w:themeColor="text1"/>
              </w:rPr>
              <w:t xml:space="preserve">tarafından istenen form/formlar 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>ve beyan edilen akademik faaliyetlere ör</w:t>
            </w:r>
            <w:r w:rsidR="00720696">
              <w:rPr>
                <w:rFonts w:ascii="Times New Roman" w:hAnsi="Times New Roman" w:cs="Times New Roman"/>
                <w:color w:val="000000" w:themeColor="text1"/>
              </w:rPr>
              <w:t>nek/kanıt niteliğindeki belgele</w:t>
            </w:r>
            <w:r w:rsidR="006335B4">
              <w:rPr>
                <w:rFonts w:ascii="Times New Roman" w:hAnsi="Times New Roman" w:cs="Times New Roman"/>
                <w:color w:val="000000" w:themeColor="text1"/>
              </w:rPr>
              <w:t>rin çıktıları ile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 xml:space="preserve"> birlikte </w:t>
            </w: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bağlı bulundukları birimin Akademik Teşvik Başvuru ve İnceleme Komisyonuna başvuru yapması.</w:t>
            </w:r>
          </w:p>
        </w:tc>
        <w:tc>
          <w:tcPr>
            <w:tcW w:w="1369" w:type="dxa"/>
            <w:vAlign w:val="center"/>
          </w:tcPr>
          <w:p w:rsidR="00E63AFE" w:rsidRPr="00E63AFE" w:rsidRDefault="00237D28" w:rsidP="00E117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</w:t>
            </w:r>
            <w:r w:rsidR="00192C04">
              <w:rPr>
                <w:rFonts w:ascii="Times New Roman" w:hAnsi="Times New Roman" w:cs="Times New Roman"/>
                <w:color w:val="000000" w:themeColor="text1"/>
              </w:rPr>
              <w:t>/2020</w:t>
            </w:r>
          </w:p>
        </w:tc>
        <w:tc>
          <w:tcPr>
            <w:tcW w:w="1327" w:type="dxa"/>
            <w:vAlign w:val="center"/>
          </w:tcPr>
          <w:p w:rsidR="00E63AFE" w:rsidRPr="00E63AFE" w:rsidRDefault="00F16D6D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2651EF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Birim Akademik Teşvik Başvuru ve İnceleme Komisyonu tarafından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başvuru sahibinin faaliyetlerinin incelenmeye uygun olup olmadığına karar vermesi ve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ygun görülmeyen başvuruların gerekçeli olarak değerlendirilmek üzere Akademik Teşvik Düzenleme, Denetleme ve İtiraz Komisyonuna iletilmesi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Uygun görülenlerin 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başvuruların gerekli</w:t>
            </w:r>
            <w:r w:rsidR="0072069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yse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düzeltmelerinin yapılmasından ve eksikliklerin giderilmesinden sonra nihai karara esas olmak üzere değe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rlendirme kararının verilmesi</w:t>
            </w:r>
            <w:r w:rsidR="00021F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(reddedilen veya puan değerinde değişiklik yapılan akademik faaliyetlerle ilgili açıklama yapılması zorunludur)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3721D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1A13" w:rsidRPr="00721A13" w:rsidRDefault="003721D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tarafından istenen form/formlar, </w:t>
            </w:r>
            <w:r w:rsidR="00E63AFE" w:rsidRPr="00E63AFE">
              <w:rPr>
                <w:rFonts w:ascii="Times New Roman" w:hAnsi="Times New Roman" w:cs="Times New Roman"/>
                <w:color w:val="000000" w:themeColor="text1"/>
              </w:rPr>
              <w:t>başvuru değerlendirme raporu ve başvuruya esas puan tablosu ile birlikte imzalı olarak birim yönetimi</w:t>
            </w:r>
            <w:r w:rsidR="00E63AFE"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63AFE" w:rsidRPr="00E63AFE">
              <w:rPr>
                <w:rFonts w:ascii="Times New Roman" w:hAnsi="Times New Roman" w:cs="Times New Roman"/>
                <w:color w:val="000000" w:themeColor="text1"/>
              </w:rPr>
              <w:t>(Rektörlüğe Bağlı Bölümlerde Bölüm Başkanlıkları, Fakültelerde Dekanlıklar ve diğer akademik birimlerde Müdürlükler) aracılığıyla Akademik Teşvik Düzenleme, Denetleme ve İtiraz Komisyonuna gönderilmesi.</w:t>
            </w:r>
          </w:p>
        </w:tc>
        <w:tc>
          <w:tcPr>
            <w:tcW w:w="1369" w:type="dxa"/>
            <w:vAlign w:val="center"/>
          </w:tcPr>
          <w:p w:rsidR="00E63AFE" w:rsidRPr="00E63AFE" w:rsidRDefault="00237D28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127E7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27" w:type="dxa"/>
            <w:vAlign w:val="center"/>
          </w:tcPr>
          <w:p w:rsidR="00E63AFE" w:rsidRPr="00E63AFE" w:rsidRDefault="00F16D6D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127E7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425740">
            <w:pPr>
              <w:pStyle w:val="Table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lang w:val="tr-TR"/>
              </w:rPr>
              <w:t>Birim komisyonlarınca gönderilen başvuru ve değerlendirme kararlarını</w:t>
            </w: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 </w:t>
            </w:r>
            <w:r w:rsidRPr="00E1177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>Akademik Teşvik Düzenleme, Denetleme ve İtiraz Komisyonu tarafından değerlendirilmesi</w:t>
            </w:r>
          </w:p>
        </w:tc>
        <w:tc>
          <w:tcPr>
            <w:tcW w:w="1369" w:type="dxa"/>
            <w:vAlign w:val="center"/>
          </w:tcPr>
          <w:p w:rsidR="00E63AFE" w:rsidRPr="00E63AFE" w:rsidRDefault="00F16D6D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127E7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27" w:type="dxa"/>
            <w:vAlign w:val="center"/>
          </w:tcPr>
          <w:p w:rsidR="00E63AFE" w:rsidRPr="00E63AFE" w:rsidRDefault="006139F9" w:rsidP="006139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127E7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6139F9" w:rsidRPr="00E63AFE" w:rsidTr="00EB5182">
        <w:tc>
          <w:tcPr>
            <w:tcW w:w="7369" w:type="dxa"/>
            <w:vAlign w:val="center"/>
          </w:tcPr>
          <w:p w:rsidR="006139F9" w:rsidRPr="00E63AFE" w:rsidRDefault="006139F9" w:rsidP="00C130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Akademik Teşvik Düzenleme, Denetleme ve İtiraz Komisyonunca yapılan değerlendirme sonuçlarının Üniversite web sitesinden ilan edilmesi.</w:t>
            </w:r>
          </w:p>
        </w:tc>
        <w:tc>
          <w:tcPr>
            <w:tcW w:w="2696" w:type="dxa"/>
            <w:gridSpan w:val="2"/>
            <w:vAlign w:val="center"/>
          </w:tcPr>
          <w:p w:rsidR="006139F9" w:rsidRPr="00E63AFE" w:rsidRDefault="006139F9" w:rsidP="006139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30/01/2020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C130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Sonuçlar için, Akademik Teşvik Düzenleme, Denetleme ve İtiraz Komisyonu’na yazılı itiraz süresi.</w:t>
            </w:r>
          </w:p>
        </w:tc>
        <w:tc>
          <w:tcPr>
            <w:tcW w:w="1369" w:type="dxa"/>
            <w:vAlign w:val="center"/>
          </w:tcPr>
          <w:p w:rsidR="00E63AFE" w:rsidRPr="00E63AFE" w:rsidRDefault="00237D28" w:rsidP="006139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139F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C2A5B">
              <w:rPr>
                <w:rFonts w:ascii="Times New Roman" w:hAnsi="Times New Roman" w:cs="Times New Roman"/>
                <w:color w:val="000000" w:themeColor="text1"/>
              </w:rPr>
              <w:t>/01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C3215C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27" w:type="dxa"/>
            <w:vAlign w:val="center"/>
          </w:tcPr>
          <w:p w:rsidR="00E63AFE" w:rsidRPr="00E63AFE" w:rsidRDefault="006139F9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F16D6D">
              <w:rPr>
                <w:rFonts w:ascii="Times New Roman" w:hAnsi="Times New Roman" w:cs="Times New Roman"/>
                <w:color w:val="000000" w:themeColor="text1"/>
              </w:rPr>
              <w:t>/02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C3215C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6139F9" w:rsidRPr="00E63AFE" w:rsidTr="003C543A">
        <w:tc>
          <w:tcPr>
            <w:tcW w:w="7369" w:type="dxa"/>
            <w:vAlign w:val="center"/>
          </w:tcPr>
          <w:p w:rsidR="006139F9" w:rsidRPr="00E63AFE" w:rsidRDefault="006139F9" w:rsidP="00C130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Akademik Teşvik Düzenleme, Denetleme ve İtiraz Komisyonunca ilgili itirazların sonuçlandırması ve akademik teşvik almaya hak kazanan öğretim elemanlarına ait Kesin Listelerin Üniversitemiz web sayfasında yayımlanması.</w:t>
            </w:r>
          </w:p>
        </w:tc>
        <w:tc>
          <w:tcPr>
            <w:tcW w:w="2696" w:type="dxa"/>
            <w:gridSpan w:val="2"/>
            <w:vAlign w:val="center"/>
          </w:tcPr>
          <w:p w:rsidR="006139F9" w:rsidRPr="00E63AFE" w:rsidRDefault="006139F9" w:rsidP="006139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07/02/2020</w:t>
            </w:r>
          </w:p>
        </w:tc>
      </w:tr>
      <w:tr w:rsidR="00720696" w:rsidRPr="00E63AFE" w:rsidTr="00AB4614">
        <w:tc>
          <w:tcPr>
            <w:tcW w:w="10065" w:type="dxa"/>
            <w:gridSpan w:val="3"/>
            <w:vAlign w:val="center"/>
          </w:tcPr>
          <w:p w:rsidR="00AA468A" w:rsidRDefault="00AA468A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696" w:rsidRDefault="00720696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9F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Not:</w:t>
            </w:r>
            <w:r w:rsidRPr="007206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65CE" w:rsidRPr="00B265CE">
              <w:rPr>
                <w:rFonts w:ascii="Times New Roman" w:hAnsi="Times New Roman" w:cs="Times New Roman"/>
                <w:color w:val="000000" w:themeColor="text1"/>
              </w:rPr>
              <w:t>Yayın teşvik dosyalarına konulacak belgeler YÖKSİS çıktısındaki sıralamaya göre sistematik biçimde düzenlenmelidir. Aksi takdirde değerlendirmeye alınmayacaktır.</w:t>
            </w:r>
            <w:r w:rsidR="00B265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39F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Belgelenmeyen faaliyetler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0696">
              <w:rPr>
                <w:rFonts w:ascii="Times New Roman" w:hAnsi="Times New Roman" w:cs="Times New Roman"/>
                <w:color w:val="000000" w:themeColor="text1"/>
              </w:rPr>
              <w:t>için yapılan başvurular değerlendirilmeyecektir.</w:t>
            </w:r>
          </w:p>
          <w:p w:rsidR="00B265CE" w:rsidRDefault="00B265CE" w:rsidP="00B265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65CE">
              <w:rPr>
                <w:rFonts w:ascii="Times New Roman" w:hAnsi="Times New Roman" w:cs="Times New Roman"/>
                <w:color w:val="000000" w:themeColor="text1"/>
              </w:rPr>
              <w:t xml:space="preserve">Akademik Teşvik Ödeneğine başvuracak öğretim elemanları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ilgili yönetmeliği dikkatli bir şekilde incelemelidir.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Akademik Teşvik Ödeneği yönetmeliği</w:t>
            </w:r>
            <w:r>
              <w:rPr>
                <w:rFonts w:ascii="Times New Roman" w:hAnsi="Times New Roman" w:cs="Times New Roman"/>
                <w:color w:val="000000" w:themeColor="text1"/>
              </w:rPr>
              <w:t>nin 10. Maddesinin 5. bendi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 xml:space="preserve"> gereğince; gerçeğ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 aykırı, yanlış veya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yanıltıcı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bildirimde bulunanlar hakkında komisyonun tespit ve bil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dirimi ile inceleme başlatılır.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 xml:space="preserve">İnceleme sonucunda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cezai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müeyyide uygulanmasın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karar verilmesi halinde genel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hükümler uygulanır.</w:t>
            </w:r>
          </w:p>
          <w:p w:rsidR="00720696" w:rsidRPr="00E63AFE" w:rsidRDefault="00720696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0696" w:rsidRDefault="00720696" w:rsidP="00720696">
      <w:pPr>
        <w:rPr>
          <w:sz w:val="20"/>
          <w:szCs w:val="20"/>
        </w:rPr>
      </w:pPr>
    </w:p>
    <w:sectPr w:rsidR="00720696" w:rsidSect="00E63AF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F7850"/>
    <w:multiLevelType w:val="hybridMultilevel"/>
    <w:tmpl w:val="B06CBFDE"/>
    <w:lvl w:ilvl="0" w:tplc="20DAC8B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522AE28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E594162C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E638B494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283AC6C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6BCA4FC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D8D26EEC"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D30AA5B2">
      <w:numFmt w:val="bullet"/>
      <w:lvlText w:val="•"/>
      <w:lvlJc w:val="left"/>
      <w:pPr>
        <w:ind w:left="6214" w:hanging="360"/>
      </w:pPr>
      <w:rPr>
        <w:rFonts w:hint="default"/>
      </w:rPr>
    </w:lvl>
    <w:lvl w:ilvl="8" w:tplc="3ED021EE">
      <w:numFmt w:val="bullet"/>
      <w:lvlText w:val="•"/>
      <w:lvlJc w:val="left"/>
      <w:pPr>
        <w:ind w:left="69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82"/>
    <w:rsid w:val="00021F23"/>
    <w:rsid w:val="0005680F"/>
    <w:rsid w:val="000E46A4"/>
    <w:rsid w:val="00127E7E"/>
    <w:rsid w:val="00192C04"/>
    <w:rsid w:val="001C2A5B"/>
    <w:rsid w:val="00237D28"/>
    <w:rsid w:val="00240E6F"/>
    <w:rsid w:val="002651EF"/>
    <w:rsid w:val="002E1557"/>
    <w:rsid w:val="003343B7"/>
    <w:rsid w:val="003721D3"/>
    <w:rsid w:val="00425740"/>
    <w:rsid w:val="005460F8"/>
    <w:rsid w:val="005474A7"/>
    <w:rsid w:val="00580082"/>
    <w:rsid w:val="006139F9"/>
    <w:rsid w:val="006335B4"/>
    <w:rsid w:val="00720696"/>
    <w:rsid w:val="00721A13"/>
    <w:rsid w:val="007B36E5"/>
    <w:rsid w:val="00897596"/>
    <w:rsid w:val="00A45551"/>
    <w:rsid w:val="00AA18D2"/>
    <w:rsid w:val="00AA468A"/>
    <w:rsid w:val="00B265CE"/>
    <w:rsid w:val="00C13016"/>
    <w:rsid w:val="00C3215C"/>
    <w:rsid w:val="00C725AD"/>
    <w:rsid w:val="00C93FCC"/>
    <w:rsid w:val="00D73308"/>
    <w:rsid w:val="00DD13C9"/>
    <w:rsid w:val="00DE18DE"/>
    <w:rsid w:val="00E11774"/>
    <w:rsid w:val="00E63AFE"/>
    <w:rsid w:val="00E965E3"/>
    <w:rsid w:val="00F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14EE-6FED-43A4-94BF-E96E8BC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A18D2"/>
    <w:pPr>
      <w:widowControl w:val="0"/>
      <w:autoSpaceDE w:val="0"/>
      <w:autoSpaceDN w:val="0"/>
      <w:spacing w:before="1" w:after="0" w:line="240" w:lineRule="auto"/>
      <w:ind w:left="721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1557"/>
    <w:pPr>
      <w:widowControl w:val="0"/>
      <w:spacing w:after="0" w:line="240" w:lineRule="auto"/>
      <w:ind w:left="103"/>
    </w:pPr>
    <w:rPr>
      <w:rFonts w:ascii="Book Antiqua" w:eastAsia="Book Antiqua" w:hAnsi="Book Antiqua" w:cs="Book Antiqua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AA18D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 Kaya</dc:creator>
  <cp:keywords/>
  <dc:description/>
  <cp:lastModifiedBy>Hewlett-Packard Company</cp:lastModifiedBy>
  <cp:revision>2</cp:revision>
  <cp:lastPrinted>2018-12-31T05:48:00Z</cp:lastPrinted>
  <dcterms:created xsi:type="dcterms:W3CDTF">2020-01-17T08:54:00Z</dcterms:created>
  <dcterms:modified xsi:type="dcterms:W3CDTF">2020-01-17T08:54:00Z</dcterms:modified>
</cp:coreProperties>
</file>